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7BBF23CE" Type="http://schemas.openxmlformats.org/officeDocument/2006/relationships/officeDocument" Target="word/document.xml"/><Relationship Id="RC44BA918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bidi w:val="0"/>
        <w:spacing w:before="0" w:after="0" w:line="259" w:lineRule="auto"/>
        <w:ind w:left="188"/>
        <w:jc w:val="center"/>
      </w:pPr>
      <w:r>
        <w:drawing>
          <wp:inline distT="0" distB="0" distL="0" distR="0">
            <wp:extent cx="3268903" cy="946384"/>
            <wp:effectExtent l="0" t="0" r="0" b="0"/>
            <wp:docPr id="6486" name="Picture 648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6486" name="Picture 648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268903" cy="94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hAnsi="Calibri" w:eastAsia="Calibri" w:ascii="Calibri"/>
          <w:sz w:val="22"/>
        </w:rPr>
        <w:t xml:space="preserve"> </w:t>
      </w:r>
    </w:p>
    <w:p>
      <w:pPr>
        <w:spacing w:before="0" w:after="0" w:line="252" w:lineRule="auto"/>
        <w:ind w:left="2023" w:right="2425" w:hanging="254"/>
      </w:pP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المفوضیة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الملكیة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للتحقیق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في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الھجوم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المسلح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على</w:t>
      </w:r>
      <w:r>
        <w:rPr>
          <w:rFonts w:cs="Cambria" w:hAnsi="Cambria" w:eastAsia="Cambria" w:ascii="Cambria"/>
          <w:color w:val="16365d"/>
          <w:sz w:val="28"/>
          <w:szCs w:val="28"/>
          <w:rtl/>
        </w:rPr>
        <w:t xml:space="preserve"> </w:t>
      </w:r>
      <w:r>
        <w:rPr>
          <w:rFonts w:cs="Cambria" w:hAnsi="Cambria" w:eastAsia="Cambria" w:ascii="Cambria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مساجد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كرایستشیرش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في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Cambria" w:hAnsi="Cambria" w:eastAsia="Cambria" w:ascii="Cambria"/>
          <w:color w:val="16365d"/>
          <w:sz w:val="28"/>
          <w:szCs w:val="28"/>
        </w:rPr>
        <w:t xml:space="preserve">15</w:t>
      </w:r>
      <w:r>
        <w:rPr>
          <w:rFonts w:cs="Cambria" w:hAnsi="Cambria" w:eastAsia="Cambria" w:ascii="Cambria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مارس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Cambria" w:hAnsi="Cambria" w:eastAsia="Cambria" w:ascii="Cambria"/>
          <w:color w:val="16365d"/>
          <w:sz w:val="28"/>
          <w:szCs w:val="28"/>
        </w:rPr>
        <w:t xml:space="preserve">2019</w:t>
      </w:r>
      <w:r>
        <w:rPr>
          <w:rFonts w:cs="Cambria" w:hAnsi="Cambria" w:eastAsia="Cambria" w:ascii="Cambria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صفحة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حقائق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عرائض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 </w:t>
      </w:r>
      <w:r>
        <w:rPr>
          <w:rFonts w:cs="Times New Roman" w:hAnsi="Times New Roman" w:eastAsia="Times New Roman" w:ascii="Times New Roman"/>
          <w:color w:val="16365d"/>
          <w:sz w:val="28"/>
          <w:szCs w:val="28"/>
          <w:rtl/>
        </w:rPr>
        <w:t xml:space="preserve">الجمھور</w:t>
      </w:r>
      <w:r>
        <w:rPr>
          <w:rFonts w:cs="Cambria" w:hAnsi="Cambria" w:eastAsia="Cambria" w:ascii="Cambria"/>
          <w:color w:val="16365d"/>
          <w:sz w:val="28"/>
          <w:szCs w:val="28"/>
          <w:rtl/>
        </w:rPr>
        <w:t xml:space="preserve"> </w:t>
      </w:r>
    </w:p>
    <w:p>
      <w:pPr>
        <w:bidi w:val="0"/>
        <w:spacing w:before="0" w:after="369" w:line="259" w:lineRule="auto"/>
        <w:ind w:left="112" w:right="-29"/>
        <w:jc w:val="left"/>
      </w:pPr>
      <w:r>
        <w:rPr/>
        <mc:AlternateContent>
          <mc:Choice Requires="wpg">
            <w:drawing>
              <wp:inline distT="0" distB="0" distL="0" distR="0">
                <wp:extent cx="5769864" cy="12179"/>
                <wp:docPr id="9915" name="Group 99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12179"/>
                          <a:chOff x="0" y="0"/>
                          <a:chExt cx="5769864" cy="12179"/>
                        </a:xfrm>
                      </wpg:grpSpPr>
                      <wps:wsp>
                        <wps:cNvPr id="16010" name="Shape 16010"/>
                        <wps:cNvSpPr/>
                        <wps:spPr>
                          <a:xfrm>
                            <a:off x="0" y="0"/>
                            <a:ext cx="5769864" cy="12179"/>
                          </a:xfrm>
                          <a:custGeom>
                            <a:pathLst>
                              <a:path w="5769864" h="12179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15" style="width:454.32pt;height:0.958984pt;mso-position-horizontal-relative:char;mso-position-vertical-relative:line" coordsize="57698,121">
                <v:shape id="Shape 16011" style="position:absolute;width:57698;height:121;left:0;top:0;" coordsize="5769864,12179" path="m0,0l5769864,0l5769864,12179l0,12179l0,0">
                  <v:stroke weight="0pt" endcap="flat" joinstyle="miter" miterlimit="10" on="false" color="#000000" opacity="0"/>
                  <v:fill on="true" color="#4f81bc"/>
                </v:shape>
              </v:group>
            </w:pict>
          </mc:Fallback>
        </mc:AlternateContent>
      </w:r>
    </w:p>
    <w:p>
      <w:pPr>
        <w:spacing w:before="0" w:after="309" w:line="259" w:lineRule="auto"/>
        <w:ind w:left="-4" w:hanging="10"/>
        <w:jc w:val="left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تدعوكم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المفوضیة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الملكیة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بالتقدم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بعرائضكم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لمساعدتھا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في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مسار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التحقیق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.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spacing w:before="0" w:after="211" w:line="349" w:lineRule="auto"/>
        <w:ind w:left="10" w:right="270" w:hanging="10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ابتداءا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ً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</w:rPr>
        <w:t xml:space="preserve">1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–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</w:rPr>
        <w:t xml:space="preserve">31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یولیو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/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تموز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ستفتح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لكم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فرصة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المشاركة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بأفكاركم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حول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الأمور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المتعلقة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بالشروط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والضوابط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المرجعیة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للمفوضیة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الملكیة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(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الملحقة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).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spacing w:before="0" w:after="309" w:line="259" w:lineRule="auto"/>
        <w:ind w:left="-4" w:hanging="10"/>
        <w:jc w:val="left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ستساعد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عرائضكم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المفوضیة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الملكیة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التوصل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إلى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: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numPr>
          <w:ilvl w:val="0"/>
          <w:numId w:val="1"/>
        </w:numPr>
        <w:spacing w:before="0" w:after="94" w:line="259" w:lineRule="auto"/>
        <w:ind w:left="360" w:right="633" w:hanging="360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ماھیة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المعلومات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التي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كانت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ھیئات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القطاع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الحكومي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المعنیة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تعرفھا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الشخص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الذي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قام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بالھجوم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،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قبل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</w:rPr>
        <w:t xml:space="preserve">15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مارس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</w:rPr>
        <w:t xml:space="preserve">2019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numPr>
          <w:ilvl w:val="0"/>
          <w:numId w:val="1"/>
        </w:numPr>
        <w:spacing w:before="0" w:after="96" w:line="259" w:lineRule="auto"/>
        <w:ind w:left="360" w:right="633" w:hanging="360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الذي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قامت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بھ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(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إن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وجد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)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ھیئات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القطاع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الحكومي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المعنیة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على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ضوء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معرفتھا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بذلك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numPr>
          <w:ilvl w:val="0"/>
          <w:numId w:val="1"/>
        </w:numPr>
        <w:spacing w:before="0" w:after="94" w:line="259" w:lineRule="auto"/>
        <w:ind w:left="360" w:right="633" w:hanging="360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إذا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كانت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ھناك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أیة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تدابیر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إضافیة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كان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ینبغي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على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ھیئات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القطاع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الحكومي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المعنیة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اتخاذھا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لمنع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ھذه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الھجمات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numPr>
          <w:ilvl w:val="0"/>
          <w:numId w:val="1"/>
        </w:numPr>
        <w:spacing w:before="0" w:after="295" w:line="259" w:lineRule="auto"/>
        <w:ind w:left="360" w:right="633" w:hanging="360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ھي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التدابیر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الإضافیة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التي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ینبغي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أن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تتخذھا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ھیئات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القطاع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الحكومي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المعنیة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لمنع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مثل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ھذه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الھجمات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في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المستقبل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.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spacing w:before="0" w:after="221" w:line="259" w:lineRule="auto"/>
        <w:ind w:left="-4" w:hanging="10"/>
        <w:jc w:val="left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وبالتحدید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،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تود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المفوضیة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الملكیة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السماع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تجربتكم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،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أو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تجربة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مجتمعكم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.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spacing w:before="0" w:after="166" w:line="259" w:lineRule="auto"/>
        <w:ind w:left="10" w:right="511" w:hanging="10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سوف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تعامل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عرائضكم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المقدمة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وبضمنھا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أسمائكم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بمنتھى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السریة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،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لكي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تتمكنوا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الافصاح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معلوماتكم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إلى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المفوضیة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الملكیة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بحریة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.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bidi w:val="0"/>
        <w:spacing w:before="0" w:after="245" w:line="259" w:lineRule="auto"/>
        <w:ind w:left="141"/>
        <w:jc w:val="left"/>
      </w:pPr>
      <w:r>
        <w:rPr>
          <w:rFonts w:cs="Century Gothic" w:hAnsi="Century Gothic" w:eastAsia="Century Gothic" w:ascii="Century Gothic"/>
          <w:sz w:val="22"/>
        </w:rPr>
        <w:t xml:space="preserve"> </w:t>
      </w:r>
    </w:p>
    <w:p>
      <w:pPr>
        <w:spacing w:before="0" w:after="198" w:line="259" w:lineRule="auto"/>
        <w:ind w:left="1"/>
        <w:jc w:val="left"/>
      </w:pPr>
      <w:r>
        <w:rPr>
          <w:rFonts w:cs="Times New Roman" w:hAnsi="Times New Roman" w:eastAsia="Times New Roman" w:ascii="Times New Roman"/>
          <w:b w:val="1"/>
          <w:bCs/>
          <w:sz w:val="22"/>
          <w:szCs w:val="22"/>
          <w:rtl/>
        </w:rPr>
        <w:t xml:space="preserve">یمكنك</w:t>
      </w:r>
      <w:r>
        <w:rPr>
          <w:rFonts w:cs="Times New Roman" w:hAnsi="Times New Roman" w:eastAsia="Times New Roman" w:ascii="Times New Roman"/>
          <w:b w:val="1"/>
          <w:bCs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b w:val="1"/>
          <w:bCs/>
          <w:sz w:val="22"/>
          <w:szCs w:val="22"/>
          <w:rtl/>
        </w:rPr>
        <w:t xml:space="preserve">تقدیم</w:t>
      </w:r>
      <w:r>
        <w:rPr>
          <w:rFonts w:cs="Times New Roman" w:hAnsi="Times New Roman" w:eastAsia="Times New Roman" w:ascii="Times New Roman"/>
          <w:b w:val="1"/>
          <w:bCs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b w:val="1"/>
          <w:bCs/>
          <w:sz w:val="22"/>
          <w:szCs w:val="22"/>
          <w:rtl/>
        </w:rPr>
        <w:t xml:space="preserve">عریضتك</w:t>
      </w:r>
      <w:r>
        <w:rPr>
          <w:rFonts w:cs="Century Gothic" w:hAnsi="Century Gothic" w:eastAsia="Century Gothic" w:ascii="Century Gothic"/>
          <w:b w:val="1"/>
          <w:bCs/>
          <w:sz w:val="22"/>
          <w:szCs w:val="22"/>
          <w:rtl/>
        </w:rPr>
        <w:t xml:space="preserve">: </w:t>
      </w:r>
      <w:r>
        <w:rPr>
          <w:rFonts w:cs="Century Gothic" w:hAnsi="Century Gothic" w:eastAsia="Century Gothic" w:ascii="Century Gothic"/>
          <w:b w:val="1"/>
          <w:bCs/>
          <w:sz w:val="22"/>
          <w:szCs w:val="22"/>
          <w:rtl/>
        </w:rPr>
        <w:t xml:space="preserve"> </w:t>
      </w:r>
    </w:p>
    <w:p>
      <w:pPr>
        <w:bidi w:val="0"/>
        <w:spacing w:before="0" w:after="190" w:line="259" w:lineRule="auto"/>
        <w:ind w:left="1401" w:hanging="10"/>
        <w:jc w:val="left"/>
      </w:pPr>
      <w:hyperlink r:id="hyperlink6963">
        <w:r>
          <w:rPr>
            <w:rFonts w:cs="Century Gothic" w:hAnsi="Century Gothic" w:eastAsia="Century Gothic" w:ascii="Century Gothic"/>
            <w:sz w:val="22"/>
          </w:rPr>
          <w:t xml:space="preserve"> </w:t>
        </w:r>
      </w:hyperlink>
      <w:hyperlink r:id="hyperlink6963">
        <w:r>
          <w:rPr>
            <w:rFonts w:cs="Century Gothic" w:hAnsi="Century Gothic" w:eastAsia="Century Gothic" w:ascii="Century Gothic"/>
            <w:color w:val="0000ff"/>
            <w:sz w:val="22"/>
            <w:u w:val="single" w:color="0000ff"/>
          </w:rPr>
          <w:t xml:space="preserve">https://christchurchattack.royalcommission.nz/</w:t>
        </w:r>
      </w:hyperlink>
      <w:hyperlink r:id="hyperlink6963">
        <w:r>
          <w:rPr>
            <w:rFonts w:cs="Century Gothic" w:hAnsi="Century Gothic" w:eastAsia="Century Gothic" w:ascii="Century Gothic"/>
            <w:sz w:val="22"/>
          </w:rPr>
          <w:t xml:space="preserve"> </w:t>
        </w:r>
      </w:hyperlink>
      <w:r>
        <w:rPr>
          <w:rFonts w:cs="Century Gothic" w:hAnsi="Century Gothic" w:eastAsia="Century Gothic" w:ascii="Century Gothic"/>
          <w:sz w:val="22"/>
        </w:rPr>
        <w:t xml:space="preserve">: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خلال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الموقع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الإلكتروني</w:t>
      </w:r>
    </w:p>
    <w:p>
      <w:pPr>
        <w:bidi w:val="0"/>
        <w:spacing w:before="0" w:after="190" w:line="259" w:lineRule="auto"/>
        <w:ind w:left="1282" w:hanging="10"/>
        <w:jc w:val="left"/>
      </w:pPr>
      <w:r>
        <w:rPr>
          <w:rFonts w:cs="Century Gothic" w:hAnsi="Century Gothic" w:eastAsia="Century Gothic" w:ascii="Century Gothic"/>
          <w:sz w:val="22"/>
        </w:rPr>
        <w:t xml:space="preserve">  </w:t>
      </w:r>
      <w:r>
        <w:rPr>
          <w:rFonts w:cs="Century Gothic" w:hAnsi="Century Gothic" w:eastAsia="Century Gothic" w:ascii="Century Gothic"/>
          <w:color w:val="0000ff"/>
          <w:sz w:val="22"/>
          <w:u w:val="single" w:color="0000ff"/>
        </w:rPr>
        <w:t xml:space="preserve">submissions@christchurch.royalcommission.nz</w:t>
      </w:r>
      <w:r>
        <w:rPr>
          <w:rFonts w:cs="Century Gothic" w:hAnsi="Century Gothic" w:eastAsia="Century Gothic" w:ascii="Century Gothic"/>
          <w:sz w:val="22"/>
        </w:rPr>
        <w:t xml:space="preserve"> :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من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خلال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البرید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الإلكتروني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إلى</w:t>
      </w:r>
    </w:p>
    <w:p>
      <w:pPr>
        <w:bidi w:val="0"/>
        <w:spacing w:before="0" w:after="4" w:line="251" w:lineRule="auto"/>
        <w:ind w:left="2688" w:right="559" w:hanging="10"/>
        <w:jc w:val="left"/>
      </w:pPr>
      <w:r>
        <w:rPr>
          <w:rFonts w:cs="Century Gothic" w:hAnsi="Century Gothic" w:eastAsia="Century Gothic" w:ascii="Century Gothic"/>
          <w:sz w:val="22"/>
        </w:rPr>
        <w:t xml:space="preserve">Royal Commission (Christchurch)</w:t>
      </w:r>
      <w:r>
        <w:rPr>
          <w:rFonts w:cs="Century Gothic" w:hAnsi="Century Gothic" w:eastAsia="Century Gothic" w:ascii="Century Gothic"/>
          <w:sz w:val="22"/>
        </w:rPr>
        <w:t xml:space="preserve"> 	</w:t>
      </w:r>
      <w:r>
        <w:rPr>
          <w:rFonts w:cs="Century Gothic" w:hAnsi="Century Gothic" w:eastAsia="Century Gothic" w:ascii="Century Gothic"/>
          <w:b w:val="1"/>
          <w:sz w:val="22"/>
        </w:rPr>
        <w:t xml:space="preserve"> </w:t>
      </w:r>
      <w:r>
        <w:rPr>
          <w:rFonts w:cs="Century Gothic" w:hAnsi="Century Gothic" w:eastAsia="Century Gothic" w:ascii="Century Gothic"/>
          <w:sz w:val="22"/>
        </w:rPr>
        <w:t xml:space="preserve">: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بالمراسلة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إلى</w:t>
      </w:r>
      <w:r>
        <w:rPr>
          <w:rFonts w:cs="Century Gothic" w:hAnsi="Century Gothic" w:eastAsia="Century Gothic" w:ascii="Century Gothic"/>
          <w:sz w:val="22"/>
        </w:rPr>
        <w:t xml:space="preserve">PO Box 680 </w:t>
      </w:r>
    </w:p>
    <w:p>
      <w:pPr>
        <w:bidi w:val="0"/>
        <w:spacing w:before="0" w:after="4" w:line="251" w:lineRule="auto"/>
        <w:ind w:left="2688" w:right="559" w:hanging="10"/>
        <w:jc w:val="left"/>
      </w:pPr>
      <w:r>
        <w:rPr>
          <w:rFonts w:cs="Century Gothic" w:hAnsi="Century Gothic" w:eastAsia="Century Gothic" w:ascii="Century Gothic"/>
          <w:sz w:val="22"/>
        </w:rPr>
        <w:t xml:space="preserve">Wellington </w:t>
      </w:r>
    </w:p>
    <w:p>
      <w:pPr>
        <w:bidi w:val="0"/>
        <w:spacing w:before="0" w:after="4" w:line="251" w:lineRule="auto"/>
        <w:ind w:left="2688" w:right="559" w:hanging="10"/>
        <w:jc w:val="left"/>
      </w:pPr>
      <w:r>
        <w:rPr>
          <w:rFonts w:cs="Century Gothic" w:hAnsi="Century Gothic" w:eastAsia="Century Gothic" w:ascii="Century Gothic"/>
          <w:sz w:val="22"/>
        </w:rPr>
        <w:t xml:space="preserve">New Zealand</w:t>
      </w:r>
      <w:r>
        <w:rPr>
          <w:rFonts w:cs="Century Gothic" w:hAnsi="Century Gothic" w:eastAsia="Century Gothic" w:ascii="Century Gothic"/>
          <w:i w:val="1"/>
          <w:sz w:val="22"/>
        </w:rPr>
        <w:t xml:space="preserve"> </w:t>
      </w:r>
      <w:r>
        <w:rPr>
          <w:rFonts w:cs="Century Gothic" w:hAnsi="Century Gothic" w:eastAsia="Century Gothic" w:ascii="Century Gothic"/>
          <w:b w:val="1"/>
          <w:sz w:val="22"/>
        </w:rPr>
        <w:t xml:space="preserve"> </w:t>
      </w:r>
    </w:p>
    <w:p>
      <w:pPr>
        <w:bidi w:val="0"/>
        <w:spacing w:before="0" w:after="238" w:line="259" w:lineRule="auto"/>
        <w:ind w:left="140"/>
        <w:jc w:val="left"/>
      </w:pPr>
      <w:r>
        <w:rPr>
          <w:rFonts w:cs="Century Gothic" w:hAnsi="Century Gothic" w:eastAsia="Century Gothic" w:ascii="Century Gothic"/>
          <w:sz w:val="22"/>
        </w:rPr>
        <w:t xml:space="preserve"> </w:t>
      </w:r>
    </w:p>
    <w:p>
      <w:pPr>
        <w:spacing w:before="0" w:after="229" w:line="259" w:lineRule="auto"/>
        <w:ind w:left="10" w:right="161" w:hanging="10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ویمكن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أن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تستلم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المفوضیة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الملكیة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عرائضكم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بطرق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أخرى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.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على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سبیل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المثال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،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إذا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رغبت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بتقدیم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عریضتك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بلغتك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الأم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أو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اعطائھا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بشكل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شفوي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.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</w:p>
    <w:p>
      <w:pPr>
        <w:tabs>
          <w:tab w:val="center" w:pos="8244"/>
        </w:tabs>
        <w:spacing w:before="0" w:after="174" w:line="259" w:lineRule="auto"/>
        <w:ind w:right="-15"/>
        <w:jc w:val="left"/>
      </w:pP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إذا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كانت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لدیك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أیة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أسئلة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بخصوص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تقدیم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ھذه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العرائض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،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فالرجاء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الاتصال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بالمفوضیة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الملكیة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على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رقم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 </w:t>
      </w:r>
      <w:r>
        <w:rPr>
          <w:rFonts w:cs="Times New Roman" w:hAnsi="Times New Roman" w:eastAsia="Times New Roman" w:ascii="Times New Roman"/>
          <w:sz w:val="22"/>
          <w:szCs w:val="22"/>
          <w:rtl/>
        </w:rPr>
        <w:t xml:space="preserve">الھاتف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: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	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</w:rPr>
        <w:t xml:space="preserve">987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</w:rPr>
        <w:t xml:space="preserve">222</w:t>
      </w:r>
      <w:r>
        <w:rPr>
          <w:rFonts w:cs="Century Gothic" w:hAnsi="Century Gothic" w:eastAsia="Century Gothic" w:ascii="Century Gothic"/>
          <w:sz w:val="22"/>
          <w:szCs w:val="22"/>
          <w:rtl/>
        </w:rPr>
        <w:t xml:space="preserve"> </w:t>
      </w:r>
      <w:r>
        <w:rPr>
          <w:rFonts w:cs="Century Gothic" w:hAnsi="Century Gothic" w:eastAsia="Century Gothic" w:ascii="Century Gothic"/>
          <w:sz w:val="22"/>
          <w:szCs w:val="22"/>
        </w:rPr>
        <w:t xml:space="preserve">0800</w:t>
      </w:r>
    </w:p>
    <w:p>
      <w:pPr>
        <w:bidi w:val="0"/>
        <w:spacing w:before="0" w:after="0" w:line="259" w:lineRule="auto"/>
        <w:ind w:right="2"/>
      </w:pPr>
      <w:r>
        <w:rPr>
          <w:rFonts w:cs="Century Gothic" w:hAnsi="Century Gothic" w:eastAsia="Century Gothic" w:ascii="Century Gothic"/>
          <w:sz w:val="22"/>
        </w:rPr>
        <w:t xml:space="preserve"> </w:t>
      </w:r>
    </w:p>
    <w:sectPr>
      <w:pgSz w:w="11906" w:h="16838" w:orient="portrait"/>
      <w:pgMar w:left="1300" w:top="708" w:right="1438" w:bottom="1440"/>
      <w:cols/>
      <w:bidi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36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1"/>
      <w:spacing w:before="0" w:after="160" w:line="259" w:lineRule="auto"/>
      <w:ind w:left="0" w:right="0" w:firstLine="0"/>
      <w:jc w:val="righ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image" Target="media/image0.jpg"/><Relationship Id="rId5" Type="http://schemas.openxmlformats.org/officeDocument/2006/relationships/customXml" Target="../customXml/item4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hyperlink6963" Type="http://schemas.openxmlformats.org/officeDocument/2006/relationships/hyperlink" Target="https://christchurchattack.royalcommission.nz/" TargetMode="Externa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llateral Document DIA" ma:contentTypeID="0x0101005496552013C0BA46BE88192D5C6EB20B00491C60681FE7024DB6E3EEE8BAAD05F4000D8984384DBED44FB14509C5417B5455" ma:contentTypeVersion="2" ma:contentTypeDescription="Use for any form of collateral created that is not a publication" ma:contentTypeScope="" ma:versionID="6c5da250e35112ce40e15b8d86c62c58">
  <xsd:schema xmlns:xsd="http://www.w3.org/2001/XMLSchema" xmlns:xs="http://www.w3.org/2001/XMLSchema" xmlns:p="http://schemas.microsoft.com/office/2006/metadata/properties" xmlns:ns3="01be4277-2979-4a68-876d-b92b25fceece" xmlns:ns4="55f734f0-82e3-448f-9814-59383e674136" xmlns:ns5="http://schemas.microsoft.com/sharepoint/v4" targetNamespace="http://schemas.microsoft.com/office/2006/metadata/properties" ma:root="true" ma:fieldsID="cb56da66bb096f9d75729e61d0102c18" ns3:_="" ns4:_="" ns5:_="">
    <xsd:import namespace="01be4277-2979-4a68-876d-b92b25fceece"/>
    <xsd:import namespace="55f734f0-82e3-448f-9814-59383e6741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a465409791e42468d5f7b47ae50468d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287d4834-4106-4dbb-adbb-8b589db20a36" ma:anchorId="1e6fc293-04e1-4c79-899b-f8d4fa3fe6de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34f0-82e3-448f-9814-59383e67413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146d232-1ab3-4333-8b28-2ebadb760fd0}" ma:internalName="TaxCatchAll" ma:showField="CatchAllData" ma:web="55f734f0-82e3-448f-9814-59383e674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146d232-1ab3-4333-8b28-2ebadb760fd0}" ma:internalName="TaxCatchAllLabel" ma:readOnly="true" ma:showField="CatchAllDataLabel" ma:web="55f734f0-82e3-448f-9814-59383e674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465409791e42468d5f7b47ae50468d" ma:index="14" ma:taxonomy="true" ma:internalName="la465409791e42468d5f7b47ae50468d" ma:taxonomyFieldName="DIASecurityClassification" ma:displayName="Security Classification" ma:default="1;#UNCLASSIFIED|875d92a8-67e2-4a32-9472-8fe99549e1eb" ma:fieldId="{5a465409-791e-4246-8d5f-7b47ae50468d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55f734f0-82e3-448f-9814-59383e674136">
      <Terms xmlns="http://schemas.microsoft.com/office/infopath/2007/PartnerControls"/>
    </TaxKeywordTaxHTField>
    <la465409791e42468d5f7b47ae50468d xmlns="55f734f0-82e3-448f-9814-59383e6741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a465409791e42468d5f7b47ae50468d>
    <DIANotes xmlns="55f734f0-82e3-448f-9814-59383e674136" xsi:nil="true"/>
    <IconOverlay xmlns="http://schemas.microsoft.com/sharepoint/v4" xsi:nil="true"/>
    <TaxCatchAll xmlns="55f734f0-82e3-448f-9814-59383e674136">
      <Value>5</Value>
      <Value>1</Value>
    </TaxCatchAll>
    <_dlc_DocId xmlns="55f734f0-82e3-448f-9814-59383e674136">ADXRF2XRTYKY-1862093678-190</_dlc_DocId>
    <_dlc_DocIdUrl xmlns="55f734f0-82e3-448f-9814-59383e674136">
      <Url>https://dia.cohesion.net.nz/Sites/INQ/ICH/ESA/_layouts/15/DocIdRedir.aspx?ID=ADXRF2XRTYKY-1862093678-190</Url>
      <Description>ADXRF2XRTYKY-1862093678-190</Description>
    </_dlc_DocIdUrl>
  </documentManagement>
</p:properties>
</file>

<file path=customXml/itemProps1.xml><?xml version="1.0" encoding="utf-8"?>
<ds:datastoreItem xmlns:ds="http://schemas.openxmlformats.org/officeDocument/2006/customXml" ds:itemID="{44EAA0EA-84BD-484E-AB0A-2BBB61290657}"/>
</file>

<file path=customXml/itemProps2.xml><?xml version="1.0" encoding="utf-8"?>
<ds:datastoreItem xmlns:ds="http://schemas.openxmlformats.org/officeDocument/2006/customXml" ds:itemID="{9BAB8027-8778-42CD-8AD0-154314EF4229}"/>
</file>

<file path=customXml/itemProps3.xml><?xml version="1.0" encoding="utf-8"?>
<ds:datastoreItem xmlns:ds="http://schemas.openxmlformats.org/officeDocument/2006/customXml" ds:itemID="{EAC99655-72A8-4BAC-A87C-B86BA1416EB3}"/>
</file>

<file path=customXml/itemProps4.xml><?xml version="1.0" encoding="utf-8"?>
<ds:datastoreItem xmlns:ds="http://schemas.openxmlformats.org/officeDocument/2006/customXml" ds:itemID="{E6F3C29A-ED52-4537-AA9A-EC3A37D21A2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Weddell</dc:creator>
  <cp:keywords/>
  <dcterms:created xsi:type="dcterms:W3CDTF">2019-07-05T03:20:28Z</dcterms:created>
  <dcterms:modified xsi:type="dcterms:W3CDTF">2019-07-05T03:20:28Z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0x0101005496552013C0BA46BE88192D5C6EB20B00491C60681FE7024DB6E3EEE8BAAD05F4000D8984384DBED44FB14509C5417B5455</vt:lpwstr>
  </property>
  <property fmtid="{D5CDD505-2E9C-101B-9397-08002B2CF9AE}" pid="3" name="f6a63413ce3d46c4a0c4711f8ed8587d">
    <vt:lpwstr>Correspondence|dcd6b05f-dc80-4336-b228-09aebf3d212c</vt:lpwstr>
  </property>
  <property fmtid="{D5CDD505-2E9C-101B-9397-08002B2CF9AE}" pid="4" name="_dlc_DocIdItemGuid">
    <vt:lpwstr>373c0254-a0e4-41b6-881f-8f8e786dddc2</vt:lpwstr>
  </property>
  <property fmtid="{D5CDD505-2E9C-101B-9397-08002B2CF9AE}" pid="5" name="TaxKeyword">
    <vt:lpwstr/>
  </property>
  <property fmtid="{D5CDD505-2E9C-101B-9397-08002B2CF9AE}" pid="6" name="C3Topic">
    <vt:lpwstr/>
  </property>
  <property fmtid="{D5CDD505-2E9C-101B-9397-08002B2CF9AE}" pid="7" name="DIAEmailContentType">
    <vt:lpwstr>5;#Correspondence|dcd6b05f-dc80-4336-b228-09aebf3d212c</vt:lpwstr>
  </property>
  <property fmtid="{D5CDD505-2E9C-101B-9397-08002B2CF9AE}" pid="8" name="DIASecurityClassification">
    <vt:lpwstr>1;#UNCLASSIFIED|875d92a8-67e2-4a32-9472-8fe99549e1eb</vt:lpwstr>
  </property>
</Properties>
</file>